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082E" w14:textId="69B4AB94" w:rsidR="00415567" w:rsidRDefault="00E822E2" w:rsidP="00E822E2">
      <w:pPr>
        <w:jc w:val="center"/>
      </w:pPr>
      <w:r>
        <w:rPr>
          <w:noProof/>
        </w:rPr>
        <w:drawing>
          <wp:inline distT="0" distB="0" distL="0" distR="0" wp14:anchorId="6D679DE1" wp14:editId="523F83EB">
            <wp:extent cx="2676525" cy="10363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036320"/>
                    </a:xfrm>
                    <a:prstGeom prst="rect">
                      <a:avLst/>
                    </a:prstGeom>
                    <a:noFill/>
                  </pic:spPr>
                </pic:pic>
              </a:graphicData>
            </a:graphic>
          </wp:inline>
        </w:drawing>
      </w:r>
    </w:p>
    <w:p w14:paraId="77CC853B" w14:textId="77777777" w:rsidR="00415567" w:rsidRDefault="00415567"/>
    <w:p w14:paraId="3835C53D" w14:textId="5F7A0D78" w:rsidR="001A2C79" w:rsidRPr="00E822E2" w:rsidRDefault="001A2C79">
      <w:pPr>
        <w:rPr>
          <w:b/>
          <w:bCs/>
          <w:sz w:val="28"/>
          <w:szCs w:val="28"/>
        </w:rPr>
      </w:pPr>
      <w:r w:rsidRPr="00E822E2">
        <w:rPr>
          <w:b/>
          <w:bCs/>
          <w:sz w:val="28"/>
          <w:szCs w:val="28"/>
        </w:rPr>
        <w:t>LEICESTERSHIRE SECOND</w:t>
      </w:r>
      <w:r w:rsidR="00415567" w:rsidRPr="00E822E2">
        <w:rPr>
          <w:b/>
          <w:bCs/>
          <w:sz w:val="28"/>
          <w:szCs w:val="28"/>
        </w:rPr>
        <w:t>A</w:t>
      </w:r>
      <w:r w:rsidRPr="00E822E2">
        <w:rPr>
          <w:b/>
          <w:bCs/>
          <w:sz w:val="28"/>
          <w:szCs w:val="28"/>
        </w:rPr>
        <w:t>RY EDUC</w:t>
      </w:r>
      <w:r w:rsidR="00496297">
        <w:rPr>
          <w:b/>
          <w:bCs/>
          <w:sz w:val="28"/>
          <w:szCs w:val="28"/>
        </w:rPr>
        <w:t>A</w:t>
      </w:r>
      <w:r w:rsidRPr="00E822E2">
        <w:rPr>
          <w:b/>
          <w:bCs/>
          <w:sz w:val="28"/>
          <w:szCs w:val="28"/>
        </w:rPr>
        <w:t>TION AND INCLUSION PARTNERSHIPS</w:t>
      </w:r>
    </w:p>
    <w:p w14:paraId="2A2C4989" w14:textId="2E07A50B" w:rsidR="001A2C79" w:rsidRPr="00E822E2" w:rsidRDefault="001A2C79" w:rsidP="00E822E2">
      <w:pPr>
        <w:jc w:val="center"/>
        <w:rPr>
          <w:b/>
          <w:bCs/>
        </w:rPr>
      </w:pPr>
      <w:r w:rsidRPr="00E822E2">
        <w:rPr>
          <w:b/>
          <w:bCs/>
        </w:rPr>
        <w:t>DATA REPORT JUNE 2022</w:t>
      </w:r>
    </w:p>
    <w:p w14:paraId="245DB02C" w14:textId="7E38DE79" w:rsidR="00E822E2" w:rsidRPr="00E822E2" w:rsidRDefault="00E822E2">
      <w:pPr>
        <w:rPr>
          <w:u w:val="single"/>
        </w:rPr>
      </w:pPr>
      <w:r w:rsidRPr="00E822E2">
        <w:rPr>
          <w:u w:val="single"/>
        </w:rPr>
        <w:t>Introduction</w:t>
      </w:r>
    </w:p>
    <w:p w14:paraId="66BBB2E1" w14:textId="58F24705" w:rsidR="00E822E2" w:rsidRDefault="00E822E2">
      <w:r>
        <w:t xml:space="preserve">Most data </w:t>
      </w:r>
      <w:proofErr w:type="gramStart"/>
      <w:r>
        <w:t>is</w:t>
      </w:r>
      <w:proofErr w:type="gramEnd"/>
      <w:r>
        <w:t xml:space="preserve"> drawn from the Register submitted by Partnerships each term at the end of Oct, Feb, and June. There have been further referrals since the register closed but these will be reflected in the Autumn terms figures.</w:t>
      </w:r>
    </w:p>
    <w:p w14:paraId="57F86192" w14:textId="5CE4B528" w:rsidR="00E822E2" w:rsidRDefault="00E822E2">
      <w:r>
        <w:t xml:space="preserve">Programme Management is the term used for the offer to students who are out of school </w:t>
      </w:r>
      <w:proofErr w:type="gramStart"/>
      <w:r>
        <w:t>as a result of</w:t>
      </w:r>
      <w:proofErr w:type="gramEnd"/>
      <w:r>
        <w:t xml:space="preserve"> Permanent Exclusion or referral to local Panels.</w:t>
      </w:r>
      <w:r w:rsidR="00035D7A">
        <w:t xml:space="preserve"> Some Partnerships have both a part- and full-time offer – hence total student numbers are not always whole numbers!</w:t>
      </w:r>
    </w:p>
    <w:p w14:paraId="304F86C9" w14:textId="48C563AB" w:rsidR="001A2C79" w:rsidRDefault="001A2C79">
      <w:pPr>
        <w:rPr>
          <w:u w:val="single"/>
        </w:rPr>
      </w:pPr>
      <w:r w:rsidRPr="00E822E2">
        <w:rPr>
          <w:u w:val="single"/>
        </w:rPr>
        <w:t>Headlines</w:t>
      </w:r>
    </w:p>
    <w:p w14:paraId="4C77BB10" w14:textId="77777777" w:rsidR="00393CD2" w:rsidRDefault="00393CD2" w:rsidP="001A2C79">
      <w:pPr>
        <w:pStyle w:val="ListParagraph"/>
        <w:numPr>
          <w:ilvl w:val="0"/>
          <w:numId w:val="1"/>
        </w:numPr>
      </w:pPr>
      <w:r>
        <w:t xml:space="preserve">The number of Permanent Exclusions has increased across the county. A small number of Heads use Pex initially and then rescind when a Partnership place has been agreed by all. </w:t>
      </w:r>
    </w:p>
    <w:p w14:paraId="27FDA420" w14:textId="72A1879C" w:rsidR="00393CD2" w:rsidRPr="00393CD2" w:rsidRDefault="00393CD2" w:rsidP="00393CD2">
      <w:pPr>
        <w:rPr>
          <w:i/>
          <w:iCs/>
        </w:rPr>
      </w:pPr>
      <w:r w:rsidRPr="00393CD2">
        <w:rPr>
          <w:i/>
          <w:iCs/>
        </w:rPr>
        <w:t xml:space="preserve">Recommendation: </w:t>
      </w:r>
    </w:p>
    <w:p w14:paraId="39DC546C" w14:textId="06AA666E" w:rsidR="00393CD2" w:rsidRPr="00393CD2" w:rsidRDefault="00393CD2" w:rsidP="00393CD2">
      <w:pPr>
        <w:rPr>
          <w:i/>
          <w:iCs/>
        </w:rPr>
      </w:pPr>
      <w:r w:rsidRPr="00393CD2">
        <w:rPr>
          <w:i/>
          <w:iCs/>
        </w:rPr>
        <w:t>The Board should continue to seek ways to bring pressure to bear on school leaders to adhere to the Partnership agreement in consulting Chairs before reaching an exclusion decision.</w:t>
      </w:r>
    </w:p>
    <w:p w14:paraId="7803C295" w14:textId="79BF6272" w:rsidR="001A2C79" w:rsidRDefault="00393CD2" w:rsidP="001A2C79">
      <w:pPr>
        <w:pStyle w:val="ListParagraph"/>
        <w:numPr>
          <w:ilvl w:val="0"/>
          <w:numId w:val="1"/>
        </w:numPr>
      </w:pPr>
      <w:r>
        <w:t xml:space="preserve"> </w:t>
      </w:r>
      <w:r w:rsidR="001A2C79">
        <w:t>The number of open referrals to the SEIPS is 672 – the highest figure recorded. (June 19 352, June 20, 481, June 21, 581.)</w:t>
      </w:r>
      <w:r w:rsidR="00035D7A">
        <w:t xml:space="preserve"> </w:t>
      </w:r>
      <w:r w:rsidR="001A2C79">
        <w:t>Over this period the Partnerships have been developing the work of the Inclusion Forums resulting in earl</w:t>
      </w:r>
      <w:r w:rsidR="00035D7A">
        <w:t>ier and more</w:t>
      </w:r>
      <w:r w:rsidR="001A2C79">
        <w:t xml:space="preserve"> referrals.</w:t>
      </w:r>
    </w:p>
    <w:p w14:paraId="00465113" w14:textId="0761E8B0" w:rsidR="001A2C79" w:rsidRDefault="001A2C79" w:rsidP="001A2C79">
      <w:pPr>
        <w:pStyle w:val="ListParagraph"/>
        <w:numPr>
          <w:ilvl w:val="0"/>
          <w:numId w:val="1"/>
        </w:numPr>
      </w:pPr>
      <w:r>
        <w:t>Fair Access Admissions remain at a low level; 9 in 21 -22 to date.</w:t>
      </w:r>
    </w:p>
    <w:p w14:paraId="52285EC9" w14:textId="72995817" w:rsidR="00D52CDA" w:rsidRDefault="00035D7A" w:rsidP="001A2C79">
      <w:pPr>
        <w:pStyle w:val="ListParagraph"/>
        <w:numPr>
          <w:ilvl w:val="0"/>
          <w:numId w:val="1"/>
        </w:numPr>
      </w:pPr>
      <w:r>
        <w:t>Twenty-eight</w:t>
      </w:r>
      <w:r w:rsidR="00D52CDA">
        <w:t xml:space="preserve"> Managed Moves are recorded on the register of which six were recorded as successful and eight as still in process. This is likely to be a </w:t>
      </w:r>
      <w:r>
        <w:t>significant under</w:t>
      </w:r>
      <w:r w:rsidR="00D52CDA">
        <w:t xml:space="preserve"> recording of what is </w:t>
      </w:r>
      <w:proofErr w:type="gramStart"/>
      <w:r w:rsidR="00D52CDA">
        <w:t>actually happening</w:t>
      </w:r>
      <w:proofErr w:type="gramEnd"/>
      <w:r w:rsidR="00D52CDA">
        <w:t xml:space="preserve"> because:</w:t>
      </w:r>
    </w:p>
    <w:p w14:paraId="0BCA7452" w14:textId="2DF3E4D7" w:rsidR="00D52CDA" w:rsidRDefault="00D52CDA" w:rsidP="00D52CDA">
      <w:pPr>
        <w:pStyle w:val="ListParagraph"/>
        <w:numPr>
          <w:ilvl w:val="1"/>
          <w:numId w:val="1"/>
        </w:numPr>
      </w:pPr>
      <w:r>
        <w:t>Some schools make private arrangements between themselves, especially within MATs and do not report these arrangements</w:t>
      </w:r>
    </w:p>
    <w:p w14:paraId="6B706899" w14:textId="40D810A3" w:rsidR="001A2C79" w:rsidRDefault="00D52CDA" w:rsidP="00D52CDA">
      <w:pPr>
        <w:pStyle w:val="ListParagraph"/>
        <w:numPr>
          <w:ilvl w:val="1"/>
          <w:numId w:val="1"/>
        </w:numPr>
      </w:pPr>
      <w:r>
        <w:t>Some moves are classified as “Fresh Starts” (where the student moves school without a trial period)</w:t>
      </w:r>
    </w:p>
    <w:p w14:paraId="7BF6A9AB" w14:textId="522834D2" w:rsidR="00D52CDA" w:rsidRPr="00393CD2" w:rsidRDefault="00D52CDA" w:rsidP="00393CD2">
      <w:pPr>
        <w:jc w:val="both"/>
        <w:rPr>
          <w:i/>
          <w:iCs/>
        </w:rPr>
      </w:pPr>
      <w:r w:rsidRPr="00393CD2">
        <w:rPr>
          <w:i/>
          <w:iCs/>
        </w:rPr>
        <w:t>Recommendation</w:t>
      </w:r>
      <w:r w:rsidR="00393CD2">
        <w:rPr>
          <w:i/>
          <w:iCs/>
        </w:rPr>
        <w:t>:</w:t>
      </w:r>
      <w:r w:rsidR="008A1C27" w:rsidRPr="00393CD2">
        <w:rPr>
          <w:i/>
          <w:iCs/>
        </w:rPr>
        <w:t xml:space="preserve"> </w:t>
      </w:r>
    </w:p>
    <w:p w14:paraId="66D34388" w14:textId="623DC643" w:rsidR="008A1C27" w:rsidRPr="00393CD2" w:rsidRDefault="008A1C27" w:rsidP="00393CD2">
      <w:pPr>
        <w:jc w:val="both"/>
        <w:rPr>
          <w:i/>
          <w:iCs/>
        </w:rPr>
      </w:pPr>
      <w:r w:rsidRPr="00393CD2">
        <w:rPr>
          <w:i/>
          <w:iCs/>
        </w:rPr>
        <w:t xml:space="preserve">The Board should encourage schools and Partnerships to develop better recording of these events </w:t>
      </w:r>
      <w:proofErr w:type="gramStart"/>
      <w:r w:rsidRPr="00393CD2">
        <w:rPr>
          <w:i/>
          <w:iCs/>
        </w:rPr>
        <w:t>in order to</w:t>
      </w:r>
      <w:proofErr w:type="gramEnd"/>
      <w:r w:rsidRPr="00393CD2">
        <w:rPr>
          <w:i/>
          <w:iCs/>
        </w:rPr>
        <w:t xml:space="preserve"> develop a clearer idea of their success.</w:t>
      </w:r>
    </w:p>
    <w:p w14:paraId="76EBE210" w14:textId="6086B4F2" w:rsidR="008A1C27" w:rsidRDefault="008A1C27" w:rsidP="008A1C27">
      <w:pPr>
        <w:pStyle w:val="ListParagraph"/>
        <w:numPr>
          <w:ilvl w:val="0"/>
          <w:numId w:val="1"/>
        </w:numPr>
      </w:pPr>
      <w:r>
        <w:t xml:space="preserve">The number of KS3 students being programme managed is 35.22, significantly higher than the June 21 figure of 25.6 but lower than previous years. There are currently eight Year 7’s and 12 Year 8’s (last year 0 and 2).  </w:t>
      </w:r>
      <w:r w:rsidR="00BF64F7">
        <w:t xml:space="preserve">These younger students present a challenge to the </w:t>
      </w:r>
      <w:r w:rsidR="00BF64F7">
        <w:lastRenderedPageBreak/>
        <w:t>Partnerships and the w</w:t>
      </w:r>
      <w:r>
        <w:t>ork to develop the capacity to meet the</w:t>
      </w:r>
      <w:r w:rsidR="00BF64F7">
        <w:t>se</w:t>
      </w:r>
      <w:r>
        <w:t xml:space="preserve"> needs </w:t>
      </w:r>
      <w:r w:rsidR="00BF64F7">
        <w:t>is not straightforward.</w:t>
      </w:r>
    </w:p>
    <w:p w14:paraId="2AD88667" w14:textId="0F7DD1B0" w:rsidR="00E24520" w:rsidRDefault="00E24520" w:rsidP="008A1C27">
      <w:pPr>
        <w:pStyle w:val="ListParagraph"/>
        <w:numPr>
          <w:ilvl w:val="0"/>
          <w:numId w:val="1"/>
        </w:numPr>
      </w:pPr>
      <w:r>
        <w:t xml:space="preserve">Across the county </w:t>
      </w:r>
      <w:proofErr w:type="gramStart"/>
      <w:r>
        <w:t>as a whole about</w:t>
      </w:r>
      <w:proofErr w:type="gramEnd"/>
      <w:r>
        <w:t xml:space="preserve"> 0.09% of the KS3 population are programme managed</w:t>
      </w:r>
      <w:r w:rsidR="00354014">
        <w:t>. (The 19-20 national</w:t>
      </w:r>
      <w:r w:rsidR="00E46E34">
        <w:t xml:space="preserve"> secondary</w:t>
      </w:r>
      <w:r w:rsidR="00354014">
        <w:t xml:space="preserve"> permanent exclusion rate was 0.</w:t>
      </w:r>
      <w:r w:rsidR="00E46E34">
        <w:t>13</w:t>
      </w:r>
      <w:r w:rsidR="00354014">
        <w:t xml:space="preserve">%). NWLLIP at 0.25% and LNCIP at </w:t>
      </w:r>
      <w:r w:rsidR="00D321CF">
        <w:t>0.18% were above the county average)</w:t>
      </w:r>
    </w:p>
    <w:p w14:paraId="145DFE12" w14:textId="3C646F83" w:rsidR="00BF64F7" w:rsidRDefault="00BF64F7" w:rsidP="008A1C27">
      <w:pPr>
        <w:pStyle w:val="ListParagraph"/>
        <w:numPr>
          <w:ilvl w:val="0"/>
          <w:numId w:val="1"/>
        </w:numPr>
      </w:pPr>
      <w:r>
        <w:t>There are currently 118.12 KS4 students being programme managed of which 50 are in Year 10.  Th</w:t>
      </w:r>
      <w:r w:rsidR="00E46E34">
        <w:t>is</w:t>
      </w:r>
      <w:r>
        <w:t xml:space="preserve"> </w:t>
      </w:r>
      <w:r w:rsidR="00E46E34">
        <w:t>is</w:t>
      </w:r>
      <w:r>
        <w:t xml:space="preserve"> the highest number recorded.</w:t>
      </w:r>
    </w:p>
    <w:p w14:paraId="572FD298" w14:textId="2FCF1D20" w:rsidR="00D321CF" w:rsidRDefault="00D321CF" w:rsidP="008A1C27">
      <w:pPr>
        <w:pStyle w:val="ListParagraph"/>
        <w:numPr>
          <w:ilvl w:val="0"/>
          <w:numId w:val="1"/>
        </w:numPr>
      </w:pPr>
      <w:r>
        <w:t>Across the county 0.31% of students are programme managed at KS4. LNCIP is above the county average at 0.44%, HBEP is 0.31%.</w:t>
      </w:r>
    </w:p>
    <w:p w14:paraId="4024168A" w14:textId="40872634" w:rsidR="00BF64F7" w:rsidRDefault="00BF64F7" w:rsidP="008A1C27">
      <w:pPr>
        <w:pStyle w:val="ListParagraph"/>
        <w:numPr>
          <w:ilvl w:val="0"/>
          <w:numId w:val="1"/>
        </w:numPr>
      </w:pPr>
      <w:r>
        <w:t>The school year 22-23 will begin with 88 students in programme management across the county – compared with 77 at the start of 21-22.</w:t>
      </w:r>
    </w:p>
    <w:p w14:paraId="1BD1732F" w14:textId="6FF15409" w:rsidR="00BF64F7" w:rsidRDefault="00BF64F7" w:rsidP="008A1C27">
      <w:pPr>
        <w:pStyle w:val="ListParagraph"/>
        <w:numPr>
          <w:ilvl w:val="0"/>
          <w:numId w:val="1"/>
        </w:numPr>
      </w:pPr>
      <w:r>
        <w:t>There are 11</w:t>
      </w:r>
      <w:r w:rsidR="00582A8F">
        <w:t xml:space="preserve"> programme managed students in receipt of direct funding of an enhanced package from SENA.  Ten of these are funded at £25.5k, 1 at £38k. Seven of these students are Year 11’s so their funding will cease in August. This represents a loss of income of £178.5k across the SEIPS.</w:t>
      </w:r>
    </w:p>
    <w:p w14:paraId="1831BE4E" w14:textId="19F23BE4" w:rsidR="00582A8F" w:rsidRDefault="00582A8F" w:rsidP="008A1C27">
      <w:pPr>
        <w:pStyle w:val="ListParagraph"/>
        <w:numPr>
          <w:ilvl w:val="0"/>
          <w:numId w:val="1"/>
        </w:numPr>
      </w:pPr>
      <w:r>
        <w:t>Seventeen Looked After students are programme managed, 3 of which are “out of county” placements.</w:t>
      </w:r>
    </w:p>
    <w:p w14:paraId="3F96D8FA" w14:textId="27849FF5" w:rsidR="00E24520" w:rsidRDefault="00C765B8" w:rsidP="008A1C27">
      <w:pPr>
        <w:pStyle w:val="ListParagraph"/>
        <w:numPr>
          <w:ilvl w:val="0"/>
          <w:numId w:val="1"/>
        </w:numPr>
      </w:pPr>
      <w:r>
        <w:t>There has been a marginal decrease in the use of Alternative Provisions by the Partnerships down from an average of 15.1 hours per week to 14.8 hours.  There have been fourteen Quality Assurance Visits carried out by the Partnerships so f</w:t>
      </w:r>
      <w:r w:rsidR="00E46E34">
        <w:t>a</w:t>
      </w:r>
      <w:r>
        <w:t>r in 21-22 using the agreed QA framework. More than half have been conducted by LNCIP.</w:t>
      </w:r>
    </w:p>
    <w:p w14:paraId="7CF05684" w14:textId="075C71BC" w:rsidR="00C765B8" w:rsidRDefault="00E24520" w:rsidP="008A1C27">
      <w:pPr>
        <w:pStyle w:val="ListParagraph"/>
        <w:numPr>
          <w:ilvl w:val="0"/>
          <w:numId w:val="1"/>
        </w:numPr>
      </w:pPr>
      <w:r>
        <w:t>There are 227 Inclusion Forum referrals recorded this year.</w:t>
      </w:r>
    </w:p>
    <w:p w14:paraId="0083EF79" w14:textId="6B7F323B" w:rsidR="00E24520" w:rsidRDefault="00D321CF" w:rsidP="008A1C27">
      <w:pPr>
        <w:pStyle w:val="ListParagraph"/>
        <w:numPr>
          <w:ilvl w:val="0"/>
          <w:numId w:val="1"/>
        </w:numPr>
      </w:pPr>
      <w:r>
        <w:t>The SEIPS web site has had 3229 “hits” this year.</w:t>
      </w:r>
    </w:p>
    <w:p w14:paraId="09B6E864" w14:textId="2CC5062E" w:rsidR="00393CD2" w:rsidRPr="002E2D10" w:rsidRDefault="00393CD2" w:rsidP="00393CD2">
      <w:pPr>
        <w:rPr>
          <w:u w:val="single"/>
        </w:rPr>
      </w:pPr>
      <w:r w:rsidRPr="002E2D10">
        <w:rPr>
          <w:u w:val="single"/>
        </w:rPr>
        <w:t xml:space="preserve">Data </w:t>
      </w:r>
      <w:r w:rsidR="002E2D10" w:rsidRPr="002E2D10">
        <w:rPr>
          <w:u w:val="single"/>
        </w:rPr>
        <w:t>Extracts</w:t>
      </w:r>
    </w:p>
    <w:p w14:paraId="59A9221C" w14:textId="2062DAA5" w:rsidR="00D321CF" w:rsidRDefault="00D321CF" w:rsidP="00D321CF">
      <w:pPr>
        <w:ind w:left="360"/>
      </w:pPr>
      <w:r w:rsidRPr="00D321CF">
        <w:drawing>
          <wp:inline distT="0" distB="0" distL="0" distR="0" wp14:anchorId="14C56FD7" wp14:editId="24CC4BD8">
            <wp:extent cx="5731510" cy="14528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52880"/>
                    </a:xfrm>
                    <a:prstGeom prst="rect">
                      <a:avLst/>
                    </a:prstGeom>
                    <a:noFill/>
                    <a:ln>
                      <a:noFill/>
                    </a:ln>
                  </pic:spPr>
                </pic:pic>
              </a:graphicData>
            </a:graphic>
          </wp:inline>
        </w:drawing>
      </w:r>
    </w:p>
    <w:p w14:paraId="0B6AB5E6" w14:textId="17D0F6BF" w:rsidR="00D321CF" w:rsidRDefault="00D321CF" w:rsidP="00D321CF">
      <w:pPr>
        <w:ind w:left="360"/>
      </w:pPr>
    </w:p>
    <w:p w14:paraId="4696CE16" w14:textId="4C7E95B4" w:rsidR="00D321CF" w:rsidRDefault="00415567" w:rsidP="00D321CF">
      <w:pPr>
        <w:ind w:left="360"/>
      </w:pPr>
      <w:r w:rsidRPr="00415567">
        <w:drawing>
          <wp:inline distT="0" distB="0" distL="0" distR="0" wp14:anchorId="77334AD1" wp14:editId="6884DF7C">
            <wp:extent cx="5731510" cy="19945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94535"/>
                    </a:xfrm>
                    <a:prstGeom prst="rect">
                      <a:avLst/>
                    </a:prstGeom>
                    <a:noFill/>
                    <a:ln>
                      <a:noFill/>
                    </a:ln>
                  </pic:spPr>
                </pic:pic>
              </a:graphicData>
            </a:graphic>
          </wp:inline>
        </w:drawing>
      </w:r>
    </w:p>
    <w:p w14:paraId="2F41E552" w14:textId="4993C067" w:rsidR="00415567" w:rsidRDefault="00415567" w:rsidP="00D321CF">
      <w:pPr>
        <w:ind w:left="360"/>
      </w:pPr>
    </w:p>
    <w:p w14:paraId="44490570" w14:textId="142D076A" w:rsidR="00415567" w:rsidRDefault="00415567" w:rsidP="00D321CF">
      <w:pPr>
        <w:ind w:left="360"/>
      </w:pPr>
      <w:r w:rsidRPr="00415567">
        <w:lastRenderedPageBreak/>
        <w:drawing>
          <wp:inline distT="0" distB="0" distL="0" distR="0" wp14:anchorId="72248180" wp14:editId="47A15B01">
            <wp:extent cx="5731510" cy="23558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355850"/>
                    </a:xfrm>
                    <a:prstGeom prst="rect">
                      <a:avLst/>
                    </a:prstGeom>
                    <a:noFill/>
                    <a:ln>
                      <a:noFill/>
                    </a:ln>
                  </pic:spPr>
                </pic:pic>
              </a:graphicData>
            </a:graphic>
          </wp:inline>
        </w:drawing>
      </w:r>
    </w:p>
    <w:p w14:paraId="1E821D04" w14:textId="696425C6" w:rsidR="00415567" w:rsidRDefault="00415567" w:rsidP="00D321CF">
      <w:pPr>
        <w:ind w:left="360"/>
      </w:pPr>
    </w:p>
    <w:p w14:paraId="420A1561" w14:textId="53D32091" w:rsidR="00415567" w:rsidRDefault="00415567" w:rsidP="00D321CF">
      <w:pPr>
        <w:ind w:left="360"/>
      </w:pPr>
      <w:r w:rsidRPr="00415567">
        <w:drawing>
          <wp:inline distT="0" distB="0" distL="0" distR="0" wp14:anchorId="306EDC8A" wp14:editId="34C3BA69">
            <wp:extent cx="5731510" cy="9118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11860"/>
                    </a:xfrm>
                    <a:prstGeom prst="rect">
                      <a:avLst/>
                    </a:prstGeom>
                    <a:noFill/>
                    <a:ln>
                      <a:noFill/>
                    </a:ln>
                  </pic:spPr>
                </pic:pic>
              </a:graphicData>
            </a:graphic>
          </wp:inline>
        </w:drawing>
      </w:r>
    </w:p>
    <w:p w14:paraId="65952D05" w14:textId="121B0DE8" w:rsidR="00415567" w:rsidRDefault="00415567" w:rsidP="00D321CF">
      <w:pPr>
        <w:ind w:left="360"/>
      </w:pPr>
    </w:p>
    <w:p w14:paraId="32F12991" w14:textId="0B6B7146" w:rsidR="00415567" w:rsidRDefault="00415567" w:rsidP="00D321CF">
      <w:pPr>
        <w:ind w:left="360"/>
      </w:pPr>
      <w:r w:rsidRPr="00415567">
        <w:drawing>
          <wp:inline distT="0" distB="0" distL="0" distR="0" wp14:anchorId="749D22CA" wp14:editId="3171C839">
            <wp:extent cx="5686425" cy="390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3905250"/>
                    </a:xfrm>
                    <a:prstGeom prst="rect">
                      <a:avLst/>
                    </a:prstGeom>
                    <a:noFill/>
                    <a:ln>
                      <a:noFill/>
                    </a:ln>
                  </pic:spPr>
                </pic:pic>
              </a:graphicData>
            </a:graphic>
          </wp:inline>
        </w:drawing>
      </w:r>
    </w:p>
    <w:p w14:paraId="33E53F68" w14:textId="0179480E" w:rsidR="002E2D10" w:rsidRDefault="002E2D10" w:rsidP="00D321CF">
      <w:pPr>
        <w:ind w:left="360"/>
      </w:pPr>
      <w:r>
        <w:t xml:space="preserve">The full data summary will be available at </w:t>
      </w:r>
      <w:hyperlink r:id="rId11" w:history="1">
        <w:r w:rsidRPr="00F63561">
          <w:rPr>
            <w:rStyle w:val="Hyperlink"/>
          </w:rPr>
          <w:t>https://www.leicsseips.org/accountability</w:t>
        </w:r>
      </w:hyperlink>
    </w:p>
    <w:p w14:paraId="593031DC" w14:textId="4E0367D1" w:rsidR="002E2D10" w:rsidRDefault="002E2D10" w:rsidP="002E2D10">
      <w:pPr>
        <w:pStyle w:val="ListParagraph"/>
        <w:numPr>
          <w:ilvl w:val="0"/>
          <w:numId w:val="2"/>
        </w:numPr>
      </w:pPr>
      <w:r>
        <w:t>Stephenson 27.06.22</w:t>
      </w:r>
    </w:p>
    <w:sectPr w:rsidR="002E2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527"/>
    <w:multiLevelType w:val="hybridMultilevel"/>
    <w:tmpl w:val="76DAFC08"/>
    <w:lvl w:ilvl="0" w:tplc="BC4C3A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812A5"/>
    <w:multiLevelType w:val="hybridMultilevel"/>
    <w:tmpl w:val="517676C0"/>
    <w:lvl w:ilvl="0" w:tplc="F50461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400174">
    <w:abstractNumId w:val="0"/>
  </w:num>
  <w:num w:numId="2" w16cid:durableId="1284919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79"/>
    <w:rsid w:val="00035D7A"/>
    <w:rsid w:val="001A2C79"/>
    <w:rsid w:val="002E2D10"/>
    <w:rsid w:val="00354014"/>
    <w:rsid w:val="00393CD2"/>
    <w:rsid w:val="00415567"/>
    <w:rsid w:val="00496297"/>
    <w:rsid w:val="00582A8F"/>
    <w:rsid w:val="008A1C27"/>
    <w:rsid w:val="00BF64F7"/>
    <w:rsid w:val="00C765B8"/>
    <w:rsid w:val="00D321CF"/>
    <w:rsid w:val="00D52CDA"/>
    <w:rsid w:val="00E24520"/>
    <w:rsid w:val="00E46E34"/>
    <w:rsid w:val="00E8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5C184"/>
  <w15:chartTrackingRefBased/>
  <w15:docId w15:val="{451654A8-26B5-4F15-9393-E6D0F4C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79"/>
    <w:pPr>
      <w:ind w:left="720"/>
      <w:contextualSpacing/>
    </w:pPr>
  </w:style>
  <w:style w:type="table" w:styleId="TableGrid">
    <w:name w:val="Table Grid"/>
    <w:basedOn w:val="TableNormal"/>
    <w:uiPriority w:val="39"/>
    <w:rsid w:val="00415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D10"/>
    <w:rPr>
      <w:color w:val="0563C1" w:themeColor="hyperlink"/>
      <w:u w:val="single"/>
    </w:rPr>
  </w:style>
  <w:style w:type="character" w:styleId="UnresolvedMention">
    <w:name w:val="Unresolved Mention"/>
    <w:basedOn w:val="DefaultParagraphFont"/>
    <w:uiPriority w:val="99"/>
    <w:semiHidden/>
    <w:unhideWhenUsed/>
    <w:rsid w:val="002E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leicsseips.org/accountability" TargetMode="Externa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cp:revision>
  <dcterms:created xsi:type="dcterms:W3CDTF">2022-06-27T13:35:00Z</dcterms:created>
  <dcterms:modified xsi:type="dcterms:W3CDTF">2022-06-27T14:55:00Z</dcterms:modified>
</cp:coreProperties>
</file>